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E310B9" w:rsidRDefault="00F96537" w:rsidP="00F96537">
      <w:pPr>
        <w:jc w:val="center"/>
        <w:rPr>
          <w:sz w:val="24"/>
          <w:szCs w:val="24"/>
        </w:rPr>
      </w:pPr>
      <w:r>
        <w:rPr>
          <w:rFonts w:eastAsia="Times New Roman"/>
          <w:b/>
          <w:bCs/>
          <w:sz w:val="24"/>
          <w:szCs w:val="24"/>
        </w:rPr>
        <w:t>Accounting</w:t>
      </w:r>
      <w:r w:rsidR="00F50EB5">
        <w:rPr>
          <w:rFonts w:eastAsia="Times New Roman"/>
          <w:b/>
          <w:bCs/>
          <w:sz w:val="24"/>
          <w:szCs w:val="24"/>
        </w:rPr>
        <w:t>/Bookkeeping</w:t>
      </w:r>
      <w:r w:rsidR="00AB72C9">
        <w:rPr>
          <w:rFonts w:eastAsia="Times New Roman"/>
          <w:b/>
          <w:bCs/>
          <w:sz w:val="24"/>
          <w:szCs w:val="24"/>
        </w:rPr>
        <w:t xml:space="preserve"> </w:t>
      </w:r>
      <w:r w:rsidR="00F50EB5">
        <w:rPr>
          <w:rFonts w:eastAsia="Times New Roman"/>
          <w:b/>
          <w:bCs/>
          <w:sz w:val="24"/>
          <w:szCs w:val="24"/>
        </w:rPr>
        <w:t xml:space="preserve">- </w:t>
      </w:r>
      <w:r w:rsidR="0069367A">
        <w:rPr>
          <w:rFonts w:eastAsia="Times New Roman"/>
          <w:b/>
          <w:bCs/>
          <w:sz w:val="24"/>
          <w:szCs w:val="24"/>
        </w:rPr>
        <w:t>6</w:t>
      </w:r>
      <w:r w:rsidR="004F4B4B">
        <w:rPr>
          <w:rFonts w:eastAsia="Times New Roman"/>
          <w:b/>
          <w:bCs/>
          <w:sz w:val="24"/>
          <w:szCs w:val="24"/>
        </w:rPr>
        <w:t>00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D45B71" w:rsidRPr="00E310B9" w:rsidTr="004B51BA">
        <w:trPr>
          <w:trHeight w:val="475"/>
        </w:trPr>
        <w:tc>
          <w:tcPr>
            <w:tcW w:w="1368" w:type="dxa"/>
            <w:vAlign w:val="center"/>
          </w:tcPr>
          <w:p w:rsidR="000C088B" w:rsidRPr="00E310B9" w:rsidRDefault="002101BD" w:rsidP="000C088B">
            <w:pPr>
              <w:jc w:val="center"/>
              <w:rPr>
                <w:sz w:val="24"/>
                <w:szCs w:val="24"/>
              </w:rPr>
            </w:pPr>
            <w:r>
              <w:rPr>
                <w:sz w:val="24"/>
                <w:szCs w:val="24"/>
              </w:rPr>
              <w:t>2015</w:t>
            </w:r>
          </w:p>
        </w:tc>
        <w:tc>
          <w:tcPr>
            <w:tcW w:w="2250" w:type="dxa"/>
            <w:vAlign w:val="center"/>
          </w:tcPr>
          <w:p w:rsidR="000C088B" w:rsidRPr="00E310B9" w:rsidRDefault="00961B9B" w:rsidP="000C088B">
            <w:pPr>
              <w:jc w:val="center"/>
              <w:rPr>
                <w:sz w:val="24"/>
                <w:szCs w:val="24"/>
              </w:rPr>
            </w:pPr>
            <w:r>
              <w:rPr>
                <w:sz w:val="24"/>
                <w:szCs w:val="24"/>
              </w:rPr>
              <w:t>5</w:t>
            </w:r>
          </w:p>
        </w:tc>
        <w:tc>
          <w:tcPr>
            <w:tcW w:w="3233" w:type="dxa"/>
            <w:vAlign w:val="center"/>
          </w:tcPr>
          <w:p w:rsidR="000C088B" w:rsidRPr="00E310B9" w:rsidRDefault="00961B9B" w:rsidP="000C088B">
            <w:pPr>
              <w:jc w:val="center"/>
              <w:rPr>
                <w:sz w:val="24"/>
                <w:szCs w:val="24"/>
              </w:rPr>
            </w:pPr>
            <w:r>
              <w:rPr>
                <w:sz w:val="24"/>
                <w:szCs w:val="24"/>
              </w:rPr>
              <w:t>4</w:t>
            </w:r>
          </w:p>
        </w:tc>
        <w:tc>
          <w:tcPr>
            <w:tcW w:w="1753" w:type="dxa"/>
            <w:vAlign w:val="center"/>
          </w:tcPr>
          <w:p w:rsidR="000C088B" w:rsidRPr="00E310B9" w:rsidRDefault="00961B9B" w:rsidP="000C088B">
            <w:pPr>
              <w:jc w:val="center"/>
              <w:rPr>
                <w:sz w:val="24"/>
                <w:szCs w:val="24"/>
              </w:rPr>
            </w:pPr>
            <w:r>
              <w:rPr>
                <w:sz w:val="24"/>
                <w:szCs w:val="24"/>
              </w:rPr>
              <w:t>3</w:t>
            </w:r>
          </w:p>
        </w:tc>
        <w:tc>
          <w:tcPr>
            <w:tcW w:w="2159" w:type="dxa"/>
            <w:vAlign w:val="center"/>
          </w:tcPr>
          <w:p w:rsidR="000C088B" w:rsidRPr="00E310B9" w:rsidRDefault="00961B9B" w:rsidP="000C088B">
            <w:pPr>
              <w:jc w:val="center"/>
              <w:rPr>
                <w:sz w:val="24"/>
                <w:szCs w:val="24"/>
              </w:rPr>
            </w:pPr>
            <w:r>
              <w:rPr>
                <w:sz w:val="24"/>
                <w:szCs w:val="24"/>
              </w:rPr>
              <w:t>75%</w:t>
            </w:r>
          </w:p>
        </w:tc>
      </w:tr>
      <w:tr w:rsidR="00D45B71" w:rsidRPr="00E310B9" w:rsidTr="004B51BA">
        <w:trPr>
          <w:trHeight w:val="475"/>
        </w:trPr>
        <w:tc>
          <w:tcPr>
            <w:tcW w:w="1368" w:type="dxa"/>
            <w:vAlign w:val="center"/>
          </w:tcPr>
          <w:p w:rsidR="006D1943" w:rsidRPr="00E310B9" w:rsidRDefault="002101BD" w:rsidP="006D1943">
            <w:pPr>
              <w:jc w:val="center"/>
              <w:rPr>
                <w:sz w:val="24"/>
                <w:szCs w:val="24"/>
              </w:rPr>
            </w:pPr>
            <w:r>
              <w:rPr>
                <w:sz w:val="24"/>
                <w:szCs w:val="24"/>
              </w:rPr>
              <w:t>2016</w:t>
            </w:r>
          </w:p>
        </w:tc>
        <w:tc>
          <w:tcPr>
            <w:tcW w:w="2250" w:type="dxa"/>
            <w:vAlign w:val="center"/>
          </w:tcPr>
          <w:p w:rsidR="006D1943" w:rsidRPr="00E310B9" w:rsidRDefault="005E73D7" w:rsidP="006D1943">
            <w:pPr>
              <w:jc w:val="center"/>
              <w:rPr>
                <w:sz w:val="24"/>
                <w:szCs w:val="24"/>
              </w:rPr>
            </w:pPr>
            <w:r>
              <w:rPr>
                <w:sz w:val="24"/>
                <w:szCs w:val="24"/>
              </w:rPr>
              <w:t>14</w:t>
            </w:r>
          </w:p>
        </w:tc>
        <w:tc>
          <w:tcPr>
            <w:tcW w:w="3233" w:type="dxa"/>
            <w:vAlign w:val="center"/>
          </w:tcPr>
          <w:p w:rsidR="006D1943" w:rsidRPr="00E310B9" w:rsidRDefault="005E73D7" w:rsidP="006D1943">
            <w:pPr>
              <w:jc w:val="center"/>
              <w:rPr>
                <w:sz w:val="24"/>
                <w:szCs w:val="24"/>
              </w:rPr>
            </w:pPr>
            <w:r>
              <w:rPr>
                <w:sz w:val="24"/>
                <w:szCs w:val="24"/>
              </w:rPr>
              <w:t>12</w:t>
            </w:r>
          </w:p>
        </w:tc>
        <w:tc>
          <w:tcPr>
            <w:tcW w:w="1753" w:type="dxa"/>
            <w:vAlign w:val="center"/>
          </w:tcPr>
          <w:p w:rsidR="006D1943" w:rsidRPr="00E310B9" w:rsidRDefault="005E73D7" w:rsidP="006D1943">
            <w:pPr>
              <w:jc w:val="center"/>
              <w:rPr>
                <w:sz w:val="24"/>
                <w:szCs w:val="24"/>
              </w:rPr>
            </w:pPr>
            <w:r>
              <w:rPr>
                <w:sz w:val="24"/>
                <w:szCs w:val="24"/>
              </w:rPr>
              <w:t>12</w:t>
            </w:r>
          </w:p>
        </w:tc>
        <w:tc>
          <w:tcPr>
            <w:tcW w:w="2159" w:type="dxa"/>
            <w:vAlign w:val="center"/>
          </w:tcPr>
          <w:p w:rsidR="006D1943" w:rsidRPr="00E310B9" w:rsidRDefault="000A4F4F" w:rsidP="006D1943">
            <w:pPr>
              <w:jc w:val="center"/>
              <w:rPr>
                <w:sz w:val="24"/>
                <w:szCs w:val="24"/>
              </w:rPr>
            </w:pPr>
            <w:r>
              <w:rPr>
                <w:sz w:val="24"/>
                <w:szCs w:val="24"/>
              </w:rPr>
              <w:t>100%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F80EC2" w:rsidRPr="00E310B9" w:rsidTr="004B51BA">
        <w:trPr>
          <w:trHeight w:val="286"/>
        </w:trPr>
        <w:tc>
          <w:tcPr>
            <w:tcW w:w="1368" w:type="dxa"/>
            <w:vAlign w:val="center"/>
          </w:tcPr>
          <w:p w:rsidR="00F80EC2" w:rsidRPr="00E310B9" w:rsidRDefault="002101BD" w:rsidP="00E637CE">
            <w:pPr>
              <w:jc w:val="center"/>
              <w:rPr>
                <w:sz w:val="24"/>
                <w:szCs w:val="24"/>
              </w:rPr>
            </w:pPr>
            <w:r>
              <w:rPr>
                <w:sz w:val="24"/>
                <w:szCs w:val="24"/>
              </w:rPr>
              <w:t>2015</w:t>
            </w:r>
          </w:p>
        </w:tc>
        <w:tc>
          <w:tcPr>
            <w:tcW w:w="2250" w:type="dxa"/>
            <w:vAlign w:val="center"/>
          </w:tcPr>
          <w:p w:rsidR="00F80EC2" w:rsidRPr="00E310B9" w:rsidRDefault="00F80EC2" w:rsidP="00E637CE">
            <w:pPr>
              <w:jc w:val="center"/>
              <w:rPr>
                <w:sz w:val="24"/>
                <w:szCs w:val="24"/>
              </w:rPr>
            </w:pPr>
            <w:r>
              <w:rPr>
                <w:sz w:val="24"/>
                <w:szCs w:val="24"/>
              </w:rPr>
              <w:t>0</w:t>
            </w:r>
          </w:p>
        </w:tc>
        <w:tc>
          <w:tcPr>
            <w:tcW w:w="1372" w:type="dxa"/>
            <w:vAlign w:val="center"/>
          </w:tcPr>
          <w:p w:rsidR="00F80EC2" w:rsidRPr="00E310B9" w:rsidRDefault="00F80EC2" w:rsidP="00E637CE">
            <w:pPr>
              <w:jc w:val="center"/>
              <w:rPr>
                <w:sz w:val="24"/>
                <w:szCs w:val="24"/>
              </w:rPr>
            </w:pPr>
            <w:r>
              <w:rPr>
                <w:sz w:val="24"/>
                <w:szCs w:val="24"/>
              </w:rPr>
              <w:t>0</w:t>
            </w:r>
          </w:p>
        </w:tc>
        <w:tc>
          <w:tcPr>
            <w:tcW w:w="1688" w:type="dxa"/>
            <w:vAlign w:val="center"/>
          </w:tcPr>
          <w:p w:rsidR="00F80EC2" w:rsidRPr="00E310B9" w:rsidRDefault="00F80EC2" w:rsidP="00E637CE">
            <w:pPr>
              <w:jc w:val="center"/>
              <w:rPr>
                <w:sz w:val="24"/>
                <w:szCs w:val="24"/>
              </w:rPr>
            </w:pPr>
            <w:r>
              <w:rPr>
                <w:sz w:val="24"/>
                <w:szCs w:val="24"/>
              </w:rPr>
              <w:t>0</w:t>
            </w:r>
          </w:p>
        </w:tc>
        <w:tc>
          <w:tcPr>
            <w:tcW w:w="1620" w:type="dxa"/>
            <w:vAlign w:val="center"/>
          </w:tcPr>
          <w:p w:rsidR="00F80EC2" w:rsidRPr="00E310B9" w:rsidRDefault="00F80EC2" w:rsidP="00E637CE">
            <w:pPr>
              <w:jc w:val="center"/>
              <w:rPr>
                <w:sz w:val="24"/>
                <w:szCs w:val="24"/>
              </w:rPr>
            </w:pPr>
            <w:r>
              <w:rPr>
                <w:sz w:val="24"/>
                <w:szCs w:val="24"/>
              </w:rPr>
              <w:t>0</w:t>
            </w:r>
          </w:p>
        </w:tc>
        <w:tc>
          <w:tcPr>
            <w:tcW w:w="2462" w:type="dxa"/>
            <w:vAlign w:val="center"/>
          </w:tcPr>
          <w:p w:rsidR="00F80EC2" w:rsidRPr="00E310B9" w:rsidRDefault="00F80EC2" w:rsidP="00E637CE">
            <w:pPr>
              <w:jc w:val="center"/>
              <w:rPr>
                <w:sz w:val="24"/>
                <w:szCs w:val="24"/>
              </w:rPr>
            </w:pPr>
            <w:r>
              <w:rPr>
                <w:sz w:val="24"/>
                <w:szCs w:val="24"/>
              </w:rPr>
              <w:t>0%</w:t>
            </w:r>
          </w:p>
        </w:tc>
      </w:tr>
      <w:tr w:rsidR="00F80EC2" w:rsidRPr="00E310B9" w:rsidTr="004B51BA">
        <w:trPr>
          <w:trHeight w:val="286"/>
        </w:trPr>
        <w:tc>
          <w:tcPr>
            <w:tcW w:w="1368" w:type="dxa"/>
            <w:vAlign w:val="center"/>
          </w:tcPr>
          <w:p w:rsidR="00F80EC2" w:rsidRPr="00E310B9" w:rsidRDefault="002101BD" w:rsidP="00E637CE">
            <w:pPr>
              <w:jc w:val="center"/>
              <w:rPr>
                <w:sz w:val="24"/>
                <w:szCs w:val="24"/>
              </w:rPr>
            </w:pPr>
            <w:r>
              <w:rPr>
                <w:sz w:val="24"/>
                <w:szCs w:val="24"/>
              </w:rPr>
              <w:t>2016</w:t>
            </w:r>
          </w:p>
        </w:tc>
        <w:tc>
          <w:tcPr>
            <w:tcW w:w="2250" w:type="dxa"/>
            <w:vAlign w:val="center"/>
          </w:tcPr>
          <w:p w:rsidR="00F80EC2" w:rsidRPr="00E310B9" w:rsidRDefault="00773E6A" w:rsidP="00E637CE">
            <w:pPr>
              <w:jc w:val="center"/>
              <w:rPr>
                <w:sz w:val="24"/>
                <w:szCs w:val="24"/>
              </w:rPr>
            </w:pPr>
            <w:r>
              <w:rPr>
                <w:sz w:val="24"/>
                <w:szCs w:val="24"/>
              </w:rPr>
              <w:t>14</w:t>
            </w:r>
          </w:p>
        </w:tc>
        <w:tc>
          <w:tcPr>
            <w:tcW w:w="1372" w:type="dxa"/>
            <w:vAlign w:val="center"/>
          </w:tcPr>
          <w:p w:rsidR="00F80EC2" w:rsidRPr="00E310B9" w:rsidRDefault="00773E6A" w:rsidP="00E637CE">
            <w:pPr>
              <w:jc w:val="center"/>
              <w:rPr>
                <w:sz w:val="24"/>
                <w:szCs w:val="24"/>
              </w:rPr>
            </w:pPr>
            <w:r>
              <w:rPr>
                <w:sz w:val="24"/>
                <w:szCs w:val="24"/>
              </w:rPr>
              <w:t>12</w:t>
            </w:r>
          </w:p>
        </w:tc>
        <w:tc>
          <w:tcPr>
            <w:tcW w:w="1688" w:type="dxa"/>
            <w:vAlign w:val="center"/>
          </w:tcPr>
          <w:p w:rsidR="00F80EC2" w:rsidRPr="00E310B9" w:rsidRDefault="00773E6A" w:rsidP="00E637CE">
            <w:pPr>
              <w:jc w:val="center"/>
              <w:rPr>
                <w:sz w:val="24"/>
                <w:szCs w:val="24"/>
              </w:rPr>
            </w:pPr>
            <w:r>
              <w:rPr>
                <w:sz w:val="24"/>
                <w:szCs w:val="24"/>
              </w:rPr>
              <w:t>12</w:t>
            </w:r>
          </w:p>
        </w:tc>
        <w:tc>
          <w:tcPr>
            <w:tcW w:w="1620" w:type="dxa"/>
            <w:vAlign w:val="center"/>
          </w:tcPr>
          <w:p w:rsidR="00F80EC2" w:rsidRPr="00E310B9" w:rsidRDefault="002447F6" w:rsidP="00E637CE">
            <w:pPr>
              <w:jc w:val="center"/>
              <w:rPr>
                <w:sz w:val="24"/>
                <w:szCs w:val="24"/>
              </w:rPr>
            </w:pPr>
            <w:r>
              <w:rPr>
                <w:sz w:val="24"/>
                <w:szCs w:val="24"/>
              </w:rPr>
              <w:t>1</w:t>
            </w:r>
          </w:p>
        </w:tc>
        <w:tc>
          <w:tcPr>
            <w:tcW w:w="2462" w:type="dxa"/>
            <w:vAlign w:val="center"/>
          </w:tcPr>
          <w:p w:rsidR="00F80EC2" w:rsidRPr="00E310B9" w:rsidRDefault="002447F6" w:rsidP="00E637CE">
            <w:pPr>
              <w:jc w:val="center"/>
              <w:rPr>
                <w:sz w:val="24"/>
                <w:szCs w:val="24"/>
              </w:rPr>
            </w:pPr>
            <w:r>
              <w:rPr>
                <w:sz w:val="24"/>
                <w:szCs w:val="24"/>
              </w:rPr>
              <w:t>1</w:t>
            </w:r>
            <w:r w:rsidR="00F80EC2">
              <w:rPr>
                <w:sz w:val="24"/>
                <w:szCs w:val="24"/>
              </w:rPr>
              <w:t>%</w:t>
            </w:r>
          </w:p>
        </w:tc>
      </w:tr>
    </w:tbl>
    <w:p w:rsidR="00C51837" w:rsidRDefault="00AB72C9" w:rsidP="00AD1E21">
      <w:pPr>
        <w:rPr>
          <w:rFonts w:eastAsia="Times New Roman"/>
          <w:w w:val="99"/>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AB72C9" w:rsidRPr="00E310B9" w:rsidTr="004B51BA">
        <w:trPr>
          <w:trHeight w:val="231"/>
        </w:trPr>
        <w:tc>
          <w:tcPr>
            <w:tcW w:w="1368" w:type="dxa"/>
            <w:vAlign w:val="center"/>
          </w:tcPr>
          <w:p w:rsidR="00AB72C9" w:rsidRPr="00E310B9" w:rsidRDefault="00AB72C9" w:rsidP="00C47DE0">
            <w:pPr>
              <w:jc w:val="center"/>
              <w:rPr>
                <w:sz w:val="24"/>
                <w:szCs w:val="24"/>
              </w:rPr>
            </w:pPr>
            <w:r>
              <w:rPr>
                <w:sz w:val="24"/>
                <w:szCs w:val="24"/>
              </w:rPr>
              <w:t>2015</w:t>
            </w:r>
          </w:p>
        </w:tc>
        <w:tc>
          <w:tcPr>
            <w:tcW w:w="2880" w:type="dxa"/>
            <w:vAlign w:val="center"/>
          </w:tcPr>
          <w:p w:rsidR="00AB72C9" w:rsidRPr="00E310B9" w:rsidRDefault="009612BB" w:rsidP="00C47DE0">
            <w:pPr>
              <w:jc w:val="center"/>
              <w:rPr>
                <w:sz w:val="24"/>
                <w:szCs w:val="24"/>
              </w:rPr>
            </w:pPr>
            <w:r>
              <w:rPr>
                <w:sz w:val="24"/>
                <w:szCs w:val="24"/>
              </w:rPr>
              <w:t>0</w:t>
            </w:r>
          </w:p>
        </w:tc>
        <w:tc>
          <w:tcPr>
            <w:tcW w:w="3282" w:type="dxa"/>
            <w:vAlign w:val="center"/>
          </w:tcPr>
          <w:p w:rsidR="00AB72C9" w:rsidRPr="00E310B9" w:rsidRDefault="009612BB" w:rsidP="00C47DE0">
            <w:pPr>
              <w:jc w:val="center"/>
              <w:rPr>
                <w:sz w:val="24"/>
                <w:szCs w:val="24"/>
              </w:rPr>
            </w:pPr>
            <w:r>
              <w:rPr>
                <w:sz w:val="24"/>
                <w:szCs w:val="24"/>
              </w:rPr>
              <w:t>0</w:t>
            </w:r>
          </w:p>
        </w:tc>
        <w:tc>
          <w:tcPr>
            <w:tcW w:w="3249" w:type="dxa"/>
            <w:vAlign w:val="center"/>
          </w:tcPr>
          <w:p w:rsidR="00AB72C9" w:rsidRPr="00E310B9" w:rsidRDefault="009612BB" w:rsidP="00C47DE0">
            <w:pPr>
              <w:jc w:val="center"/>
              <w:rPr>
                <w:sz w:val="24"/>
                <w:szCs w:val="24"/>
              </w:rPr>
            </w:pPr>
            <w:r>
              <w:rPr>
                <w:sz w:val="24"/>
                <w:szCs w:val="24"/>
              </w:rPr>
              <w:t>0</w:t>
            </w:r>
          </w:p>
        </w:tc>
      </w:tr>
      <w:tr w:rsidR="00AB72C9" w:rsidRPr="00E310B9" w:rsidTr="004B51BA">
        <w:trPr>
          <w:trHeight w:val="231"/>
        </w:trPr>
        <w:tc>
          <w:tcPr>
            <w:tcW w:w="1368" w:type="dxa"/>
            <w:vAlign w:val="center"/>
          </w:tcPr>
          <w:p w:rsidR="00AB72C9" w:rsidRPr="00E310B9" w:rsidRDefault="00AB72C9" w:rsidP="00C47DE0">
            <w:pPr>
              <w:jc w:val="center"/>
              <w:rPr>
                <w:sz w:val="24"/>
                <w:szCs w:val="24"/>
              </w:rPr>
            </w:pPr>
            <w:r>
              <w:rPr>
                <w:sz w:val="24"/>
                <w:szCs w:val="24"/>
              </w:rPr>
              <w:t>2016</w:t>
            </w:r>
          </w:p>
        </w:tc>
        <w:tc>
          <w:tcPr>
            <w:tcW w:w="2880" w:type="dxa"/>
            <w:vAlign w:val="center"/>
          </w:tcPr>
          <w:p w:rsidR="00AB72C9" w:rsidRPr="00E310B9" w:rsidRDefault="009612BB" w:rsidP="00C47DE0">
            <w:pPr>
              <w:jc w:val="center"/>
              <w:rPr>
                <w:sz w:val="24"/>
                <w:szCs w:val="24"/>
              </w:rPr>
            </w:pPr>
            <w:r>
              <w:rPr>
                <w:sz w:val="24"/>
                <w:szCs w:val="24"/>
              </w:rPr>
              <w:t>1</w:t>
            </w:r>
          </w:p>
        </w:tc>
        <w:tc>
          <w:tcPr>
            <w:tcW w:w="3282" w:type="dxa"/>
            <w:vAlign w:val="center"/>
          </w:tcPr>
          <w:p w:rsidR="00AB72C9" w:rsidRPr="00E310B9" w:rsidRDefault="009612BB" w:rsidP="00C47DE0">
            <w:pPr>
              <w:jc w:val="center"/>
              <w:rPr>
                <w:sz w:val="24"/>
                <w:szCs w:val="24"/>
              </w:rPr>
            </w:pPr>
            <w:r>
              <w:rPr>
                <w:sz w:val="24"/>
                <w:szCs w:val="24"/>
              </w:rPr>
              <w:t>0</w:t>
            </w:r>
          </w:p>
        </w:tc>
        <w:tc>
          <w:tcPr>
            <w:tcW w:w="3249" w:type="dxa"/>
            <w:vAlign w:val="center"/>
          </w:tcPr>
          <w:p w:rsidR="00AB72C9" w:rsidRPr="00E310B9" w:rsidRDefault="009612BB" w:rsidP="00C47DE0">
            <w:pPr>
              <w:jc w:val="center"/>
              <w:rPr>
                <w:sz w:val="24"/>
                <w:szCs w:val="24"/>
              </w:rPr>
            </w:pPr>
            <w:r>
              <w:rPr>
                <w:sz w:val="24"/>
                <w:szCs w:val="24"/>
              </w:rPr>
              <w:t>1</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F80EC2" w:rsidRPr="00E310B9" w:rsidTr="0046012C">
        <w:trPr>
          <w:trHeight w:val="251"/>
        </w:trPr>
        <w:tc>
          <w:tcPr>
            <w:tcW w:w="1811" w:type="dxa"/>
            <w:vAlign w:val="center"/>
          </w:tcPr>
          <w:p w:rsidR="00F80EC2" w:rsidRPr="00E310B9" w:rsidRDefault="002101BD" w:rsidP="00E637CE">
            <w:pPr>
              <w:jc w:val="center"/>
              <w:rPr>
                <w:sz w:val="24"/>
                <w:szCs w:val="24"/>
              </w:rPr>
            </w:pPr>
            <w:r>
              <w:rPr>
                <w:sz w:val="24"/>
                <w:szCs w:val="24"/>
              </w:rPr>
              <w:t>2015</w:t>
            </w:r>
          </w:p>
        </w:tc>
        <w:tc>
          <w:tcPr>
            <w:tcW w:w="2990" w:type="dxa"/>
            <w:vAlign w:val="center"/>
          </w:tcPr>
          <w:p w:rsidR="00F80EC2" w:rsidRPr="00E310B9" w:rsidRDefault="00F80EC2" w:rsidP="00E637CE">
            <w:pPr>
              <w:jc w:val="center"/>
              <w:rPr>
                <w:sz w:val="24"/>
                <w:szCs w:val="24"/>
              </w:rPr>
            </w:pPr>
            <w:r>
              <w:rPr>
                <w:sz w:val="24"/>
                <w:szCs w:val="24"/>
              </w:rPr>
              <w:t>0</w:t>
            </w:r>
          </w:p>
        </w:tc>
        <w:tc>
          <w:tcPr>
            <w:tcW w:w="3006" w:type="dxa"/>
            <w:vAlign w:val="center"/>
          </w:tcPr>
          <w:p w:rsidR="00F80EC2" w:rsidRPr="00E310B9" w:rsidRDefault="00F80EC2" w:rsidP="00E637CE">
            <w:pPr>
              <w:jc w:val="center"/>
              <w:rPr>
                <w:sz w:val="24"/>
                <w:szCs w:val="24"/>
              </w:rPr>
            </w:pPr>
            <w:r>
              <w:rPr>
                <w:sz w:val="24"/>
                <w:szCs w:val="24"/>
              </w:rPr>
              <w:t>0</w:t>
            </w:r>
          </w:p>
        </w:tc>
        <w:tc>
          <w:tcPr>
            <w:tcW w:w="3006" w:type="dxa"/>
            <w:vAlign w:val="center"/>
          </w:tcPr>
          <w:p w:rsidR="00F80EC2" w:rsidRPr="00E310B9" w:rsidRDefault="00F80EC2" w:rsidP="00E637CE">
            <w:pPr>
              <w:jc w:val="center"/>
              <w:rPr>
                <w:sz w:val="24"/>
                <w:szCs w:val="24"/>
              </w:rPr>
            </w:pPr>
            <w:r>
              <w:rPr>
                <w:sz w:val="24"/>
                <w:szCs w:val="24"/>
              </w:rPr>
              <w:t>0</w:t>
            </w:r>
          </w:p>
        </w:tc>
      </w:tr>
      <w:tr w:rsidR="00F80EC2" w:rsidRPr="00E310B9" w:rsidTr="0046012C">
        <w:trPr>
          <w:trHeight w:val="251"/>
        </w:trPr>
        <w:tc>
          <w:tcPr>
            <w:tcW w:w="1811" w:type="dxa"/>
            <w:vAlign w:val="center"/>
          </w:tcPr>
          <w:p w:rsidR="00F80EC2" w:rsidRPr="00E310B9" w:rsidRDefault="002101BD" w:rsidP="00E637CE">
            <w:pPr>
              <w:jc w:val="center"/>
              <w:rPr>
                <w:sz w:val="24"/>
                <w:szCs w:val="24"/>
              </w:rPr>
            </w:pPr>
            <w:r>
              <w:rPr>
                <w:sz w:val="24"/>
                <w:szCs w:val="24"/>
              </w:rPr>
              <w:t>2016</w:t>
            </w:r>
          </w:p>
        </w:tc>
        <w:tc>
          <w:tcPr>
            <w:tcW w:w="2990" w:type="dxa"/>
            <w:vAlign w:val="center"/>
          </w:tcPr>
          <w:p w:rsidR="00F80EC2" w:rsidRPr="00E310B9" w:rsidRDefault="002447F6" w:rsidP="00E637CE">
            <w:pPr>
              <w:jc w:val="center"/>
              <w:rPr>
                <w:sz w:val="24"/>
                <w:szCs w:val="24"/>
              </w:rPr>
            </w:pPr>
            <w:r>
              <w:rPr>
                <w:sz w:val="24"/>
                <w:szCs w:val="24"/>
              </w:rPr>
              <w:t>0</w:t>
            </w:r>
          </w:p>
        </w:tc>
        <w:tc>
          <w:tcPr>
            <w:tcW w:w="3006" w:type="dxa"/>
            <w:vAlign w:val="center"/>
          </w:tcPr>
          <w:p w:rsidR="00F80EC2" w:rsidRPr="00E310B9" w:rsidRDefault="002447F6" w:rsidP="00E637CE">
            <w:pPr>
              <w:jc w:val="center"/>
              <w:rPr>
                <w:sz w:val="24"/>
                <w:szCs w:val="24"/>
              </w:rPr>
            </w:pPr>
            <w:r>
              <w:rPr>
                <w:sz w:val="24"/>
                <w:szCs w:val="24"/>
              </w:rPr>
              <w:t>1</w:t>
            </w:r>
          </w:p>
        </w:tc>
        <w:tc>
          <w:tcPr>
            <w:tcW w:w="3006" w:type="dxa"/>
            <w:vAlign w:val="center"/>
          </w:tcPr>
          <w:p w:rsidR="00F80EC2" w:rsidRPr="00E310B9" w:rsidRDefault="002447F6" w:rsidP="00E637CE">
            <w:pPr>
              <w:jc w:val="center"/>
              <w:rPr>
                <w:sz w:val="24"/>
                <w:szCs w:val="24"/>
              </w:rPr>
            </w:pPr>
            <w:r>
              <w:rPr>
                <w:sz w:val="24"/>
                <w:szCs w:val="24"/>
              </w:rPr>
              <w:t>1</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46012C" w:rsidP="00E637CE">
            <w:pPr>
              <w:jc w:val="center"/>
              <w:rPr>
                <w:sz w:val="24"/>
                <w:szCs w:val="24"/>
              </w:rPr>
            </w:pPr>
            <w:r>
              <w:rPr>
                <w:sz w:val="24"/>
                <w:szCs w:val="24"/>
              </w:rPr>
              <w:t>0</w:t>
            </w:r>
          </w:p>
        </w:tc>
        <w:tc>
          <w:tcPr>
            <w:tcW w:w="4586" w:type="dxa"/>
            <w:vAlign w:val="center"/>
          </w:tcPr>
          <w:p w:rsidR="0046012C" w:rsidRPr="00E310B9" w:rsidRDefault="0046012C"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46012C" w:rsidP="00E637CE">
            <w:pPr>
              <w:jc w:val="center"/>
              <w:rPr>
                <w:sz w:val="24"/>
                <w:szCs w:val="24"/>
              </w:rPr>
            </w:pPr>
            <w:r>
              <w:rPr>
                <w:sz w:val="24"/>
                <w:szCs w:val="24"/>
              </w:rPr>
              <w:t>0</w:t>
            </w:r>
          </w:p>
        </w:tc>
        <w:tc>
          <w:tcPr>
            <w:tcW w:w="4586" w:type="dxa"/>
            <w:vAlign w:val="center"/>
          </w:tcPr>
          <w:p w:rsidR="0046012C" w:rsidRPr="00E310B9" w:rsidRDefault="0046012C" w:rsidP="00E637CE">
            <w:pPr>
              <w:jc w:val="center"/>
              <w:rPr>
                <w:sz w:val="24"/>
                <w:szCs w:val="24"/>
              </w:rPr>
            </w:pPr>
            <w:r>
              <w:rPr>
                <w:sz w:val="24"/>
                <w:szCs w:val="24"/>
              </w:rPr>
              <w:t>1</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416AD0" w:rsidRPr="00E310B9" w:rsidTr="0046012C">
        <w:trPr>
          <w:trHeight w:val="292"/>
        </w:trPr>
        <w:tc>
          <w:tcPr>
            <w:tcW w:w="1913" w:type="dxa"/>
            <w:vAlign w:val="center"/>
          </w:tcPr>
          <w:p w:rsidR="00416AD0" w:rsidRPr="00E310B9" w:rsidRDefault="002101BD" w:rsidP="00E637CE">
            <w:pPr>
              <w:jc w:val="center"/>
              <w:rPr>
                <w:sz w:val="24"/>
                <w:szCs w:val="24"/>
              </w:rPr>
            </w:pPr>
            <w:r>
              <w:rPr>
                <w:sz w:val="24"/>
                <w:szCs w:val="24"/>
              </w:rPr>
              <w:t>2015</w:t>
            </w:r>
          </w:p>
        </w:tc>
        <w:tc>
          <w:tcPr>
            <w:tcW w:w="5840" w:type="dxa"/>
            <w:vAlign w:val="center"/>
          </w:tcPr>
          <w:p w:rsidR="00416AD0" w:rsidRPr="00E310B9" w:rsidRDefault="00416AD0" w:rsidP="00E637CE">
            <w:pPr>
              <w:jc w:val="center"/>
              <w:rPr>
                <w:sz w:val="24"/>
                <w:szCs w:val="24"/>
              </w:rPr>
            </w:pPr>
            <w:r>
              <w:rPr>
                <w:sz w:val="24"/>
                <w:szCs w:val="24"/>
              </w:rPr>
              <w:t>0</w:t>
            </w:r>
          </w:p>
        </w:tc>
        <w:tc>
          <w:tcPr>
            <w:tcW w:w="3074" w:type="dxa"/>
            <w:vAlign w:val="center"/>
          </w:tcPr>
          <w:p w:rsidR="00416AD0" w:rsidRPr="00E310B9" w:rsidRDefault="00416AD0" w:rsidP="00E637CE">
            <w:pPr>
              <w:jc w:val="center"/>
              <w:rPr>
                <w:sz w:val="24"/>
                <w:szCs w:val="24"/>
              </w:rPr>
            </w:pPr>
            <w:r>
              <w:rPr>
                <w:sz w:val="24"/>
                <w:szCs w:val="24"/>
              </w:rPr>
              <w:t>0</w:t>
            </w:r>
          </w:p>
        </w:tc>
      </w:tr>
      <w:tr w:rsidR="00416AD0" w:rsidRPr="00E310B9" w:rsidTr="0046012C">
        <w:trPr>
          <w:trHeight w:val="292"/>
        </w:trPr>
        <w:tc>
          <w:tcPr>
            <w:tcW w:w="1913" w:type="dxa"/>
            <w:vAlign w:val="center"/>
          </w:tcPr>
          <w:p w:rsidR="00416AD0" w:rsidRPr="00E310B9" w:rsidRDefault="002101BD" w:rsidP="00E637CE">
            <w:pPr>
              <w:jc w:val="center"/>
              <w:rPr>
                <w:sz w:val="24"/>
                <w:szCs w:val="24"/>
              </w:rPr>
            </w:pPr>
            <w:r>
              <w:rPr>
                <w:sz w:val="24"/>
                <w:szCs w:val="24"/>
              </w:rPr>
              <w:t>2016</w:t>
            </w:r>
          </w:p>
        </w:tc>
        <w:tc>
          <w:tcPr>
            <w:tcW w:w="5840" w:type="dxa"/>
            <w:vAlign w:val="center"/>
          </w:tcPr>
          <w:p w:rsidR="00416AD0" w:rsidRPr="00E310B9" w:rsidRDefault="00416AD0" w:rsidP="00E637CE">
            <w:pPr>
              <w:jc w:val="center"/>
              <w:rPr>
                <w:sz w:val="24"/>
                <w:szCs w:val="24"/>
              </w:rPr>
            </w:pPr>
            <w:r>
              <w:rPr>
                <w:sz w:val="24"/>
                <w:szCs w:val="24"/>
              </w:rPr>
              <w:t>0</w:t>
            </w:r>
          </w:p>
        </w:tc>
        <w:tc>
          <w:tcPr>
            <w:tcW w:w="3074" w:type="dxa"/>
            <w:vAlign w:val="center"/>
          </w:tcPr>
          <w:p w:rsidR="00416AD0" w:rsidRPr="00E310B9" w:rsidRDefault="002447F6" w:rsidP="00E637CE">
            <w:pPr>
              <w:jc w:val="center"/>
              <w:rPr>
                <w:sz w:val="24"/>
                <w:szCs w:val="24"/>
              </w:rPr>
            </w:pPr>
            <w:r>
              <w:rPr>
                <w:sz w:val="24"/>
                <w:szCs w:val="24"/>
              </w:rPr>
              <w:t>1</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D641B1" w:rsidP="00C47DE0">
            <w:pPr>
              <w:jc w:val="center"/>
              <w:rPr>
                <w:sz w:val="24"/>
                <w:szCs w:val="24"/>
              </w:rPr>
            </w:pPr>
            <w:r>
              <w:rPr>
                <w:sz w:val="24"/>
                <w:szCs w:val="24"/>
              </w:rPr>
              <w:t>3</w:t>
            </w:r>
          </w:p>
        </w:tc>
        <w:tc>
          <w:tcPr>
            <w:tcW w:w="2023" w:type="dxa"/>
            <w:vAlign w:val="center"/>
          </w:tcPr>
          <w:p w:rsidR="00C47DE0" w:rsidRPr="00E310B9" w:rsidRDefault="001E66D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9612BB" w:rsidP="00C47DE0">
            <w:pPr>
              <w:jc w:val="center"/>
              <w:rPr>
                <w:sz w:val="24"/>
                <w:szCs w:val="24"/>
              </w:rPr>
            </w:pPr>
            <w:r>
              <w:rPr>
                <w:sz w:val="24"/>
                <w:szCs w:val="24"/>
              </w:rPr>
              <w:t>%</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2016</w:t>
            </w:r>
          </w:p>
        </w:tc>
        <w:tc>
          <w:tcPr>
            <w:tcW w:w="1708" w:type="dxa"/>
            <w:vAlign w:val="center"/>
          </w:tcPr>
          <w:p w:rsidR="00C47DE0" w:rsidRPr="00E310B9" w:rsidRDefault="00D641B1" w:rsidP="00C47DE0">
            <w:pPr>
              <w:jc w:val="center"/>
              <w:rPr>
                <w:sz w:val="24"/>
                <w:szCs w:val="24"/>
              </w:rPr>
            </w:pPr>
            <w:r>
              <w:rPr>
                <w:sz w:val="24"/>
                <w:szCs w:val="24"/>
              </w:rPr>
              <w:t>12</w:t>
            </w:r>
          </w:p>
        </w:tc>
        <w:tc>
          <w:tcPr>
            <w:tcW w:w="2023" w:type="dxa"/>
            <w:vAlign w:val="center"/>
          </w:tcPr>
          <w:p w:rsidR="00C47DE0" w:rsidRPr="00E310B9" w:rsidRDefault="001E66DB" w:rsidP="00C47DE0">
            <w:pPr>
              <w:jc w:val="center"/>
              <w:rPr>
                <w:sz w:val="24"/>
                <w:szCs w:val="24"/>
              </w:rPr>
            </w:pPr>
            <w:r>
              <w:rPr>
                <w:sz w:val="24"/>
                <w:szCs w:val="24"/>
              </w:rPr>
              <w:t>4</w:t>
            </w:r>
          </w:p>
        </w:tc>
        <w:tc>
          <w:tcPr>
            <w:tcW w:w="2073" w:type="dxa"/>
            <w:vAlign w:val="center"/>
          </w:tcPr>
          <w:p w:rsidR="00C47DE0" w:rsidRPr="00E310B9" w:rsidRDefault="001E66DB" w:rsidP="00C47DE0">
            <w:pPr>
              <w:jc w:val="center"/>
              <w:rPr>
                <w:sz w:val="24"/>
                <w:szCs w:val="24"/>
              </w:rPr>
            </w:pPr>
            <w:r>
              <w:rPr>
                <w:sz w:val="24"/>
                <w:szCs w:val="24"/>
              </w:rPr>
              <w:t>4</w:t>
            </w:r>
          </w:p>
        </w:tc>
        <w:tc>
          <w:tcPr>
            <w:tcW w:w="1983" w:type="dxa"/>
            <w:vAlign w:val="center"/>
          </w:tcPr>
          <w:p w:rsidR="00C47DE0" w:rsidRPr="00E310B9" w:rsidRDefault="001E66DB" w:rsidP="00C47DE0">
            <w:pPr>
              <w:jc w:val="center"/>
              <w:rPr>
                <w:sz w:val="24"/>
                <w:szCs w:val="24"/>
              </w:rPr>
            </w:pPr>
            <w:r>
              <w:rPr>
                <w:sz w:val="24"/>
                <w:szCs w:val="24"/>
              </w:rPr>
              <w:t>0</w:t>
            </w:r>
          </w:p>
        </w:tc>
        <w:tc>
          <w:tcPr>
            <w:tcW w:w="1475" w:type="dxa"/>
            <w:vAlign w:val="center"/>
          </w:tcPr>
          <w:p w:rsidR="00C47DE0" w:rsidRPr="00E310B9" w:rsidRDefault="001E66DB" w:rsidP="00C47DE0">
            <w:pPr>
              <w:jc w:val="center"/>
              <w:rPr>
                <w:sz w:val="24"/>
                <w:szCs w:val="24"/>
              </w:rPr>
            </w:pPr>
            <w:r>
              <w:rPr>
                <w:sz w:val="24"/>
                <w:szCs w:val="24"/>
              </w:rPr>
              <w:t>100</w:t>
            </w:r>
            <w:r w:rsidR="009612BB">
              <w:rPr>
                <w:sz w:val="24"/>
                <w:szCs w:val="24"/>
              </w:rPr>
              <w:t>%</w:t>
            </w: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1E66DB">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F455F1" w:rsidRPr="00E310B9" w:rsidTr="00801779">
        <w:trPr>
          <w:trHeight w:val="1360"/>
        </w:trPr>
        <w:tc>
          <w:tcPr>
            <w:tcW w:w="1188" w:type="dxa"/>
            <w:shd w:val="clear" w:color="auto" w:fill="BFBFBF" w:themeFill="background1" w:themeFillShade="BF"/>
            <w:vAlign w:val="center"/>
          </w:tcPr>
          <w:p w:rsidR="00F455F1" w:rsidRPr="00801779" w:rsidRDefault="00F455F1" w:rsidP="008E0455">
            <w:pPr>
              <w:spacing w:line="276" w:lineRule="auto"/>
              <w:jc w:val="center"/>
              <w:rPr>
                <w:b/>
                <w:sz w:val="24"/>
                <w:szCs w:val="24"/>
              </w:rPr>
            </w:pPr>
            <w:r w:rsidRPr="00801779">
              <w:rPr>
                <w:b/>
                <w:sz w:val="24"/>
                <w:szCs w:val="24"/>
              </w:rPr>
              <w:t>Calendar</w:t>
            </w:r>
          </w:p>
          <w:p w:rsidR="00F455F1" w:rsidRPr="00801779" w:rsidRDefault="00F455F1"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F455F1" w:rsidRPr="00801779" w:rsidRDefault="00F455F1"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F455F1" w:rsidRPr="00801779" w:rsidRDefault="00F455F1"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F455F1" w:rsidRPr="00801779" w:rsidRDefault="00F455F1" w:rsidP="008E0455">
            <w:pPr>
              <w:jc w:val="center"/>
              <w:rPr>
                <w:b/>
                <w:sz w:val="24"/>
                <w:szCs w:val="24"/>
              </w:rPr>
            </w:pPr>
            <w:r w:rsidRPr="00801779">
              <w:rPr>
                <w:b/>
                <w:sz w:val="24"/>
                <w:szCs w:val="24"/>
              </w:rPr>
              <w:t>$</w:t>
            </w:r>
            <w:r>
              <w:rPr>
                <w:b/>
                <w:sz w:val="24"/>
                <w:szCs w:val="24"/>
              </w:rPr>
              <w:t>0</w:t>
            </w:r>
            <w:r w:rsidRPr="00801779">
              <w:rPr>
                <w:b/>
                <w:sz w:val="24"/>
                <w:szCs w:val="24"/>
              </w:rPr>
              <w:t xml:space="preserve"> </w:t>
            </w:r>
          </w:p>
          <w:p w:rsidR="00F455F1" w:rsidRPr="00801779" w:rsidRDefault="00F455F1" w:rsidP="008E0455">
            <w:pPr>
              <w:jc w:val="center"/>
              <w:rPr>
                <w:b/>
                <w:sz w:val="24"/>
                <w:szCs w:val="24"/>
              </w:rPr>
            </w:pPr>
            <w:r w:rsidRPr="00801779">
              <w:rPr>
                <w:b/>
                <w:sz w:val="24"/>
                <w:szCs w:val="24"/>
              </w:rPr>
              <w:t xml:space="preserve">- </w:t>
            </w:r>
          </w:p>
          <w:p w:rsidR="00F455F1" w:rsidRPr="00801779" w:rsidRDefault="00F455F1" w:rsidP="008E0455">
            <w:pPr>
              <w:spacing w:line="276" w:lineRule="auto"/>
              <w:jc w:val="center"/>
              <w:rPr>
                <w:b/>
                <w:sz w:val="24"/>
                <w:szCs w:val="24"/>
                <w:vertAlign w:val="superscript"/>
              </w:rPr>
            </w:pPr>
            <w:r w:rsidRPr="00801779">
              <w:rPr>
                <w:b/>
                <w:sz w:val="24"/>
                <w:szCs w:val="24"/>
              </w:rPr>
              <w:t>$2</w:t>
            </w:r>
            <w:r>
              <w:rPr>
                <w:b/>
                <w:sz w:val="24"/>
                <w:szCs w:val="24"/>
              </w:rPr>
              <w:t>0</w:t>
            </w:r>
            <w:r w:rsidRPr="00801779">
              <w:rPr>
                <w:b/>
                <w:sz w:val="24"/>
                <w:szCs w:val="24"/>
              </w:rPr>
              <w:t>,000</w:t>
            </w:r>
          </w:p>
        </w:tc>
        <w:tc>
          <w:tcPr>
            <w:tcW w:w="1130" w:type="dxa"/>
            <w:shd w:val="clear" w:color="auto" w:fill="BFBFBF" w:themeFill="background1" w:themeFillShade="BF"/>
            <w:vAlign w:val="center"/>
          </w:tcPr>
          <w:p w:rsidR="00F455F1" w:rsidRPr="00801779" w:rsidRDefault="00F455F1" w:rsidP="008E0455">
            <w:pPr>
              <w:jc w:val="center"/>
              <w:rPr>
                <w:b/>
                <w:sz w:val="24"/>
                <w:szCs w:val="24"/>
              </w:rPr>
            </w:pPr>
            <w:r w:rsidRPr="00801779">
              <w:rPr>
                <w:b/>
                <w:sz w:val="24"/>
                <w:szCs w:val="24"/>
              </w:rPr>
              <w:t>$</w:t>
            </w:r>
            <w:r>
              <w:rPr>
                <w:b/>
                <w:sz w:val="24"/>
                <w:szCs w:val="24"/>
              </w:rPr>
              <w:t>20</w:t>
            </w:r>
            <w:r w:rsidRPr="00801779">
              <w:rPr>
                <w:b/>
                <w:sz w:val="24"/>
                <w:szCs w:val="24"/>
              </w:rPr>
              <w:t xml:space="preserve">,001 </w:t>
            </w:r>
          </w:p>
          <w:p w:rsidR="00F455F1" w:rsidRPr="00801779" w:rsidRDefault="00F455F1" w:rsidP="008E0455">
            <w:pPr>
              <w:jc w:val="center"/>
              <w:rPr>
                <w:b/>
                <w:sz w:val="24"/>
                <w:szCs w:val="24"/>
              </w:rPr>
            </w:pPr>
            <w:r w:rsidRPr="00801779">
              <w:rPr>
                <w:b/>
                <w:sz w:val="24"/>
                <w:szCs w:val="24"/>
              </w:rPr>
              <w:t xml:space="preserve">- </w:t>
            </w:r>
          </w:p>
          <w:p w:rsidR="00F455F1" w:rsidRPr="00801779" w:rsidRDefault="00F455F1" w:rsidP="008E0455">
            <w:pPr>
              <w:spacing w:line="276" w:lineRule="auto"/>
              <w:jc w:val="center"/>
              <w:rPr>
                <w:b/>
                <w:sz w:val="24"/>
                <w:szCs w:val="24"/>
                <w:vertAlign w:val="superscript"/>
              </w:rPr>
            </w:pPr>
            <w:r w:rsidRPr="00801779">
              <w:rPr>
                <w:b/>
                <w:sz w:val="24"/>
                <w:szCs w:val="24"/>
              </w:rPr>
              <w:t>$</w:t>
            </w:r>
            <w:r>
              <w:rPr>
                <w:b/>
                <w:sz w:val="24"/>
                <w:szCs w:val="24"/>
              </w:rPr>
              <w:t>30</w:t>
            </w:r>
            <w:r w:rsidRPr="00801779">
              <w:rPr>
                <w:b/>
                <w:sz w:val="24"/>
                <w:szCs w:val="24"/>
              </w:rPr>
              <w:t>,000</w:t>
            </w:r>
          </w:p>
        </w:tc>
        <w:tc>
          <w:tcPr>
            <w:tcW w:w="1199" w:type="dxa"/>
            <w:shd w:val="clear" w:color="auto" w:fill="BFBFBF" w:themeFill="background1" w:themeFillShade="BF"/>
            <w:vAlign w:val="center"/>
          </w:tcPr>
          <w:p w:rsidR="00F455F1" w:rsidRPr="00801779" w:rsidRDefault="00F455F1" w:rsidP="008E0455">
            <w:pPr>
              <w:jc w:val="center"/>
              <w:rPr>
                <w:b/>
                <w:sz w:val="24"/>
                <w:szCs w:val="24"/>
              </w:rPr>
            </w:pPr>
            <w:r w:rsidRPr="00801779">
              <w:rPr>
                <w:b/>
                <w:sz w:val="24"/>
                <w:szCs w:val="24"/>
              </w:rPr>
              <w:t>$</w:t>
            </w:r>
            <w:r>
              <w:rPr>
                <w:b/>
                <w:sz w:val="24"/>
                <w:szCs w:val="24"/>
              </w:rPr>
              <w:t>3</w:t>
            </w:r>
            <w:r w:rsidRPr="00801779">
              <w:rPr>
                <w:b/>
                <w:sz w:val="24"/>
                <w:szCs w:val="24"/>
              </w:rPr>
              <w:t xml:space="preserve">0,001 </w:t>
            </w:r>
          </w:p>
          <w:p w:rsidR="00F455F1" w:rsidRPr="00801779" w:rsidRDefault="00F455F1" w:rsidP="008E0455">
            <w:pPr>
              <w:jc w:val="center"/>
              <w:rPr>
                <w:b/>
                <w:sz w:val="24"/>
                <w:szCs w:val="24"/>
              </w:rPr>
            </w:pPr>
            <w:r w:rsidRPr="00801779">
              <w:rPr>
                <w:b/>
                <w:sz w:val="24"/>
                <w:szCs w:val="24"/>
              </w:rPr>
              <w:t xml:space="preserve">- </w:t>
            </w:r>
          </w:p>
          <w:p w:rsidR="00F455F1" w:rsidRPr="00801779" w:rsidRDefault="00F455F1" w:rsidP="008E0455">
            <w:pPr>
              <w:spacing w:line="276" w:lineRule="auto"/>
              <w:jc w:val="center"/>
              <w:rPr>
                <w:b/>
                <w:sz w:val="24"/>
                <w:szCs w:val="24"/>
                <w:vertAlign w:val="superscript"/>
              </w:rPr>
            </w:pPr>
            <w:r w:rsidRPr="00801779">
              <w:rPr>
                <w:b/>
                <w:sz w:val="24"/>
                <w:szCs w:val="24"/>
              </w:rPr>
              <w:t>$</w:t>
            </w:r>
            <w:r>
              <w:rPr>
                <w:b/>
                <w:sz w:val="24"/>
                <w:szCs w:val="24"/>
              </w:rPr>
              <w:t>40</w:t>
            </w:r>
            <w:r w:rsidRPr="00801779">
              <w:rPr>
                <w:b/>
                <w:sz w:val="24"/>
                <w:szCs w:val="24"/>
              </w:rPr>
              <w:t>,000</w:t>
            </w:r>
          </w:p>
        </w:tc>
        <w:tc>
          <w:tcPr>
            <w:tcW w:w="1130" w:type="dxa"/>
            <w:shd w:val="clear" w:color="auto" w:fill="BFBFBF" w:themeFill="background1" w:themeFillShade="BF"/>
            <w:vAlign w:val="center"/>
          </w:tcPr>
          <w:p w:rsidR="00F455F1" w:rsidRPr="00801779" w:rsidRDefault="00F455F1" w:rsidP="008E0455">
            <w:pPr>
              <w:jc w:val="center"/>
              <w:rPr>
                <w:b/>
                <w:sz w:val="24"/>
                <w:szCs w:val="24"/>
              </w:rPr>
            </w:pPr>
            <w:r w:rsidRPr="00801779">
              <w:rPr>
                <w:b/>
                <w:sz w:val="24"/>
                <w:szCs w:val="24"/>
              </w:rPr>
              <w:t>$</w:t>
            </w:r>
            <w:r>
              <w:rPr>
                <w:b/>
                <w:sz w:val="24"/>
                <w:szCs w:val="24"/>
              </w:rPr>
              <w:t>4</w:t>
            </w:r>
            <w:r w:rsidRPr="00801779">
              <w:rPr>
                <w:b/>
                <w:sz w:val="24"/>
                <w:szCs w:val="24"/>
              </w:rPr>
              <w:t>0,001</w:t>
            </w:r>
          </w:p>
          <w:p w:rsidR="00F455F1" w:rsidRPr="00801779" w:rsidRDefault="00F455F1" w:rsidP="008E0455">
            <w:pPr>
              <w:jc w:val="center"/>
              <w:rPr>
                <w:b/>
                <w:sz w:val="24"/>
                <w:szCs w:val="24"/>
              </w:rPr>
            </w:pPr>
            <w:r w:rsidRPr="00801779">
              <w:rPr>
                <w:b/>
                <w:sz w:val="24"/>
                <w:szCs w:val="24"/>
              </w:rPr>
              <w:t>-</w:t>
            </w:r>
          </w:p>
          <w:p w:rsidR="00F455F1" w:rsidRPr="00801779" w:rsidRDefault="00F455F1" w:rsidP="008E0455">
            <w:pPr>
              <w:spacing w:line="276" w:lineRule="auto"/>
              <w:jc w:val="center"/>
              <w:rPr>
                <w:b/>
                <w:sz w:val="24"/>
                <w:szCs w:val="24"/>
              </w:rPr>
            </w:pPr>
            <w:r w:rsidRPr="00801779">
              <w:rPr>
                <w:b/>
                <w:sz w:val="24"/>
                <w:szCs w:val="24"/>
              </w:rPr>
              <w:t>$</w:t>
            </w:r>
            <w:r>
              <w:rPr>
                <w:b/>
                <w:sz w:val="24"/>
                <w:szCs w:val="24"/>
              </w:rPr>
              <w:t>50</w:t>
            </w:r>
            <w:r w:rsidRPr="00801779">
              <w:rPr>
                <w:b/>
                <w:sz w:val="24"/>
                <w:szCs w:val="24"/>
              </w:rPr>
              <w:t>,000</w:t>
            </w:r>
          </w:p>
        </w:tc>
        <w:tc>
          <w:tcPr>
            <w:tcW w:w="1470" w:type="dxa"/>
            <w:shd w:val="clear" w:color="auto" w:fill="BFBFBF" w:themeFill="background1" w:themeFillShade="BF"/>
            <w:vAlign w:val="center"/>
          </w:tcPr>
          <w:p w:rsidR="00F455F1" w:rsidRPr="00801779" w:rsidRDefault="00F455F1" w:rsidP="00801779">
            <w:pPr>
              <w:spacing w:line="276" w:lineRule="auto"/>
              <w:jc w:val="center"/>
              <w:rPr>
                <w:b/>
                <w:sz w:val="24"/>
                <w:szCs w:val="24"/>
              </w:rPr>
            </w:pPr>
            <w:r w:rsidRPr="00801779">
              <w:rPr>
                <w:b/>
                <w:sz w:val="24"/>
                <w:szCs w:val="24"/>
              </w:rPr>
              <w:t>No Salary Information Reported</w:t>
            </w:r>
          </w:p>
        </w:tc>
      </w:tr>
      <w:tr w:rsidR="00801779" w:rsidRPr="00E310B9" w:rsidTr="00801779">
        <w:trPr>
          <w:trHeight w:val="253"/>
        </w:trPr>
        <w:tc>
          <w:tcPr>
            <w:tcW w:w="1188" w:type="dxa"/>
            <w:vAlign w:val="center"/>
          </w:tcPr>
          <w:p w:rsidR="00801779" w:rsidRPr="00E310B9" w:rsidRDefault="00801779" w:rsidP="008E0455">
            <w:pPr>
              <w:jc w:val="center"/>
              <w:rPr>
                <w:sz w:val="24"/>
                <w:szCs w:val="24"/>
              </w:rPr>
            </w:pPr>
            <w:r>
              <w:rPr>
                <w:sz w:val="24"/>
                <w:szCs w:val="24"/>
              </w:rPr>
              <w:t>2015</w:t>
            </w:r>
          </w:p>
        </w:tc>
        <w:tc>
          <w:tcPr>
            <w:tcW w:w="1800" w:type="dxa"/>
            <w:vAlign w:val="center"/>
          </w:tcPr>
          <w:p w:rsidR="00801779" w:rsidRPr="00E310B9" w:rsidRDefault="00801779" w:rsidP="008E0455">
            <w:pPr>
              <w:jc w:val="center"/>
              <w:rPr>
                <w:sz w:val="24"/>
                <w:szCs w:val="24"/>
              </w:rPr>
            </w:pPr>
            <w:r>
              <w:rPr>
                <w:sz w:val="24"/>
                <w:szCs w:val="24"/>
              </w:rPr>
              <w:t>0</w:t>
            </w:r>
          </w:p>
        </w:tc>
        <w:tc>
          <w:tcPr>
            <w:tcW w:w="1900" w:type="dxa"/>
            <w:vAlign w:val="center"/>
          </w:tcPr>
          <w:p w:rsidR="00801779" w:rsidRPr="00E310B9" w:rsidRDefault="00801779" w:rsidP="008E0455">
            <w:pPr>
              <w:jc w:val="center"/>
              <w:rPr>
                <w:sz w:val="24"/>
                <w:szCs w:val="24"/>
              </w:rPr>
            </w:pPr>
            <w:r>
              <w:rPr>
                <w:sz w:val="24"/>
                <w:szCs w:val="24"/>
              </w:rPr>
              <w:t>0</w:t>
            </w:r>
          </w:p>
        </w:tc>
        <w:tc>
          <w:tcPr>
            <w:tcW w:w="1199" w:type="dxa"/>
            <w:vAlign w:val="center"/>
          </w:tcPr>
          <w:p w:rsidR="00801779" w:rsidRPr="00E310B9" w:rsidRDefault="00801779" w:rsidP="008E0455">
            <w:pPr>
              <w:jc w:val="center"/>
              <w:rPr>
                <w:sz w:val="24"/>
                <w:szCs w:val="24"/>
              </w:rPr>
            </w:pPr>
            <w:r>
              <w:rPr>
                <w:sz w:val="24"/>
                <w:szCs w:val="24"/>
              </w:rPr>
              <w:t>0</w:t>
            </w:r>
          </w:p>
        </w:tc>
        <w:tc>
          <w:tcPr>
            <w:tcW w:w="1130" w:type="dxa"/>
            <w:vAlign w:val="center"/>
          </w:tcPr>
          <w:p w:rsidR="00801779" w:rsidRPr="00E310B9" w:rsidRDefault="00801779" w:rsidP="008E0455">
            <w:pPr>
              <w:jc w:val="center"/>
              <w:rPr>
                <w:sz w:val="24"/>
                <w:szCs w:val="24"/>
              </w:rPr>
            </w:pPr>
            <w:r>
              <w:rPr>
                <w:sz w:val="24"/>
                <w:szCs w:val="24"/>
              </w:rPr>
              <w:t>0</w:t>
            </w:r>
          </w:p>
        </w:tc>
        <w:tc>
          <w:tcPr>
            <w:tcW w:w="1199" w:type="dxa"/>
            <w:vAlign w:val="center"/>
          </w:tcPr>
          <w:p w:rsidR="00801779" w:rsidRPr="00E310B9" w:rsidRDefault="00801779" w:rsidP="008E0455">
            <w:pPr>
              <w:jc w:val="center"/>
              <w:rPr>
                <w:sz w:val="24"/>
                <w:szCs w:val="24"/>
              </w:rPr>
            </w:pPr>
            <w:r>
              <w:rPr>
                <w:sz w:val="24"/>
                <w:szCs w:val="24"/>
              </w:rPr>
              <w:t>0</w:t>
            </w:r>
          </w:p>
        </w:tc>
        <w:tc>
          <w:tcPr>
            <w:tcW w:w="1130" w:type="dxa"/>
          </w:tcPr>
          <w:p w:rsidR="00801779" w:rsidRPr="00E310B9" w:rsidRDefault="00801779" w:rsidP="008E0455">
            <w:pPr>
              <w:jc w:val="center"/>
              <w:rPr>
                <w:sz w:val="24"/>
                <w:szCs w:val="24"/>
              </w:rPr>
            </w:pPr>
            <w:r>
              <w:rPr>
                <w:sz w:val="24"/>
                <w:szCs w:val="24"/>
              </w:rPr>
              <w:t>0</w:t>
            </w:r>
          </w:p>
        </w:tc>
        <w:tc>
          <w:tcPr>
            <w:tcW w:w="1470" w:type="dxa"/>
          </w:tcPr>
          <w:p w:rsidR="00801779" w:rsidRPr="00E310B9" w:rsidRDefault="00801779" w:rsidP="008E0455">
            <w:pPr>
              <w:jc w:val="center"/>
              <w:rPr>
                <w:sz w:val="24"/>
                <w:szCs w:val="24"/>
              </w:rPr>
            </w:pPr>
            <w:r>
              <w:rPr>
                <w:sz w:val="24"/>
                <w:szCs w:val="24"/>
              </w:rPr>
              <w:t>0</w:t>
            </w:r>
          </w:p>
        </w:tc>
      </w:tr>
      <w:tr w:rsidR="00801779" w:rsidRPr="00E310B9" w:rsidTr="00801779">
        <w:trPr>
          <w:trHeight w:val="253"/>
        </w:trPr>
        <w:tc>
          <w:tcPr>
            <w:tcW w:w="1188" w:type="dxa"/>
            <w:vAlign w:val="center"/>
          </w:tcPr>
          <w:p w:rsidR="00801779" w:rsidRPr="00E310B9" w:rsidRDefault="00801779" w:rsidP="008E0455">
            <w:pPr>
              <w:jc w:val="center"/>
              <w:rPr>
                <w:sz w:val="24"/>
                <w:szCs w:val="24"/>
              </w:rPr>
            </w:pPr>
            <w:r>
              <w:rPr>
                <w:sz w:val="24"/>
                <w:szCs w:val="24"/>
              </w:rPr>
              <w:t>2016</w:t>
            </w:r>
          </w:p>
        </w:tc>
        <w:tc>
          <w:tcPr>
            <w:tcW w:w="1800" w:type="dxa"/>
            <w:vAlign w:val="center"/>
          </w:tcPr>
          <w:p w:rsidR="00801779" w:rsidRPr="00E310B9" w:rsidRDefault="00801779" w:rsidP="008E0455">
            <w:pPr>
              <w:jc w:val="center"/>
              <w:rPr>
                <w:sz w:val="24"/>
                <w:szCs w:val="24"/>
              </w:rPr>
            </w:pPr>
            <w:r>
              <w:rPr>
                <w:sz w:val="24"/>
                <w:szCs w:val="24"/>
              </w:rPr>
              <w:t>12</w:t>
            </w:r>
          </w:p>
        </w:tc>
        <w:tc>
          <w:tcPr>
            <w:tcW w:w="1900" w:type="dxa"/>
            <w:vAlign w:val="center"/>
          </w:tcPr>
          <w:p w:rsidR="00801779" w:rsidRPr="00E310B9" w:rsidRDefault="00801779" w:rsidP="008E0455">
            <w:pPr>
              <w:jc w:val="center"/>
              <w:rPr>
                <w:sz w:val="24"/>
                <w:szCs w:val="24"/>
              </w:rPr>
            </w:pPr>
            <w:r>
              <w:rPr>
                <w:sz w:val="24"/>
                <w:szCs w:val="24"/>
              </w:rPr>
              <w:t>1</w:t>
            </w:r>
          </w:p>
        </w:tc>
        <w:tc>
          <w:tcPr>
            <w:tcW w:w="1199" w:type="dxa"/>
            <w:vAlign w:val="center"/>
          </w:tcPr>
          <w:p w:rsidR="00801779" w:rsidRPr="00E310B9" w:rsidRDefault="00801779" w:rsidP="008E0455">
            <w:pPr>
              <w:jc w:val="center"/>
              <w:rPr>
                <w:sz w:val="24"/>
                <w:szCs w:val="24"/>
              </w:rPr>
            </w:pPr>
            <w:r>
              <w:rPr>
                <w:sz w:val="24"/>
                <w:szCs w:val="24"/>
              </w:rPr>
              <w:t>0</w:t>
            </w:r>
          </w:p>
        </w:tc>
        <w:tc>
          <w:tcPr>
            <w:tcW w:w="1130" w:type="dxa"/>
            <w:vAlign w:val="center"/>
          </w:tcPr>
          <w:p w:rsidR="00801779" w:rsidRPr="00E310B9" w:rsidRDefault="00801779" w:rsidP="008E0455">
            <w:pPr>
              <w:jc w:val="center"/>
              <w:rPr>
                <w:sz w:val="24"/>
                <w:szCs w:val="24"/>
              </w:rPr>
            </w:pPr>
            <w:r>
              <w:rPr>
                <w:sz w:val="24"/>
                <w:szCs w:val="24"/>
              </w:rPr>
              <w:t>0</w:t>
            </w:r>
          </w:p>
        </w:tc>
        <w:tc>
          <w:tcPr>
            <w:tcW w:w="1199" w:type="dxa"/>
            <w:vAlign w:val="center"/>
          </w:tcPr>
          <w:p w:rsidR="00801779" w:rsidRPr="00E310B9" w:rsidRDefault="00801779" w:rsidP="008E0455">
            <w:pPr>
              <w:jc w:val="center"/>
              <w:rPr>
                <w:sz w:val="24"/>
                <w:szCs w:val="24"/>
              </w:rPr>
            </w:pPr>
            <w:r>
              <w:rPr>
                <w:sz w:val="24"/>
                <w:szCs w:val="24"/>
              </w:rPr>
              <w:t>0</w:t>
            </w:r>
          </w:p>
        </w:tc>
        <w:tc>
          <w:tcPr>
            <w:tcW w:w="1130" w:type="dxa"/>
          </w:tcPr>
          <w:p w:rsidR="00801779" w:rsidRPr="00E310B9" w:rsidRDefault="00801779" w:rsidP="008E0455">
            <w:pPr>
              <w:jc w:val="center"/>
              <w:rPr>
                <w:sz w:val="24"/>
                <w:szCs w:val="24"/>
              </w:rPr>
            </w:pPr>
            <w:r>
              <w:rPr>
                <w:sz w:val="24"/>
                <w:szCs w:val="24"/>
              </w:rPr>
              <w:t>0</w:t>
            </w:r>
          </w:p>
        </w:tc>
        <w:tc>
          <w:tcPr>
            <w:tcW w:w="1470" w:type="dxa"/>
          </w:tcPr>
          <w:p w:rsidR="00801779" w:rsidRPr="00E310B9" w:rsidRDefault="00801779" w:rsidP="008E0455">
            <w:pPr>
              <w:jc w:val="center"/>
              <w:rPr>
                <w:sz w:val="24"/>
                <w:szCs w:val="24"/>
              </w:rPr>
            </w:pPr>
            <w:r>
              <w:rPr>
                <w:sz w:val="24"/>
                <w:szCs w:val="24"/>
              </w:rPr>
              <w:t>1</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w:t>
      </w:r>
      <w:r w:rsidRPr="00D641B1">
        <w:rPr>
          <w:sz w:val="24"/>
          <w:szCs w:val="24"/>
        </w:rPr>
        <w:t>in 20</w:t>
      </w:r>
      <w:r w:rsidR="00D641B1" w:rsidRPr="00D641B1">
        <w:rPr>
          <w:sz w:val="24"/>
          <w:szCs w:val="24"/>
        </w:rPr>
        <w:t>16</w:t>
      </w:r>
      <w:r w:rsidRPr="00D641B1">
        <w:rPr>
          <w:sz w:val="24"/>
          <w:szCs w:val="24"/>
        </w:rPr>
        <w:t>: $</w:t>
      </w:r>
      <w:r w:rsidR="00D641B1" w:rsidRPr="00D641B1">
        <w:rPr>
          <w:sz w:val="24"/>
          <w:szCs w:val="24"/>
        </w:rPr>
        <w:t>7,295</w:t>
      </w:r>
      <w:r w:rsidRPr="00D641B1">
        <w:rPr>
          <w:sz w:val="24"/>
          <w:szCs w:val="24"/>
        </w:rPr>
        <w:t>.</w:t>
      </w:r>
      <w:r>
        <w:rPr>
          <w:sz w:val="24"/>
          <w:szCs w:val="24"/>
        </w:rPr>
        <w:t xml:space="preserve"> Additional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60" w:rsidRDefault="00AC4E60" w:rsidP="006D1943">
      <w:r>
        <w:separator/>
      </w:r>
    </w:p>
  </w:endnote>
  <w:endnote w:type="continuationSeparator" w:id="0">
    <w:p w:rsidR="00AC4E60" w:rsidRDefault="00AC4E60"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5A7737" w:rsidRPr="001009FB">
          <w:rPr>
            <w:sz w:val="20"/>
            <w:szCs w:val="20"/>
          </w:rPr>
          <w:fldChar w:fldCharType="begin"/>
        </w:r>
        <w:r w:rsidRPr="001009FB">
          <w:rPr>
            <w:sz w:val="20"/>
            <w:szCs w:val="20"/>
          </w:rPr>
          <w:instrText xml:space="preserve"> PAGE   \* MERGEFORMAT </w:instrText>
        </w:r>
        <w:r w:rsidR="005A7737" w:rsidRPr="001009FB">
          <w:rPr>
            <w:sz w:val="20"/>
            <w:szCs w:val="20"/>
          </w:rPr>
          <w:fldChar w:fldCharType="separate"/>
        </w:r>
        <w:r w:rsidR="001E66DB">
          <w:rPr>
            <w:noProof/>
            <w:sz w:val="20"/>
            <w:szCs w:val="20"/>
          </w:rPr>
          <w:t>3</w:t>
        </w:r>
        <w:r w:rsidR="005A7737" w:rsidRPr="001009FB">
          <w:rPr>
            <w:sz w:val="20"/>
            <w:szCs w:val="20"/>
          </w:rPr>
          <w:fldChar w:fldCharType="end"/>
        </w:r>
        <w:r w:rsidR="00D74089">
          <w:rPr>
            <w:sz w:val="20"/>
            <w:szCs w:val="20"/>
          </w:rPr>
          <w:t xml:space="preserve"> </w:t>
        </w:r>
      </w:sdtContent>
    </w:sdt>
    <w:r w:rsidR="009E131A">
      <w:rPr>
        <w:sz w:val="20"/>
        <w:szCs w:val="20"/>
      </w:rPr>
      <w:t>of 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60" w:rsidRDefault="00AC4E60" w:rsidP="006D1943">
      <w:r>
        <w:separator/>
      </w:r>
    </w:p>
  </w:footnote>
  <w:footnote w:type="continuationSeparator" w:id="0">
    <w:p w:rsidR="00AC4E60" w:rsidRDefault="00AC4E60"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6D1943"/>
    <w:rsid w:val="00045A0F"/>
    <w:rsid w:val="000759DF"/>
    <w:rsid w:val="000A313D"/>
    <w:rsid w:val="000A4F4F"/>
    <w:rsid w:val="000C088B"/>
    <w:rsid w:val="000C4AEA"/>
    <w:rsid w:val="001009FB"/>
    <w:rsid w:val="0014669F"/>
    <w:rsid w:val="00152AA6"/>
    <w:rsid w:val="00173373"/>
    <w:rsid w:val="00175259"/>
    <w:rsid w:val="00197BFD"/>
    <w:rsid w:val="001A2512"/>
    <w:rsid w:val="001C5B01"/>
    <w:rsid w:val="001C6921"/>
    <w:rsid w:val="001E32B5"/>
    <w:rsid w:val="001E66DB"/>
    <w:rsid w:val="002101BD"/>
    <w:rsid w:val="00214487"/>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AD0"/>
    <w:rsid w:val="00417634"/>
    <w:rsid w:val="0046012C"/>
    <w:rsid w:val="00473916"/>
    <w:rsid w:val="00482250"/>
    <w:rsid w:val="004B51BA"/>
    <w:rsid w:val="004E572E"/>
    <w:rsid w:val="004F4B4B"/>
    <w:rsid w:val="005301B5"/>
    <w:rsid w:val="005A7737"/>
    <w:rsid w:val="005B1448"/>
    <w:rsid w:val="005E73D7"/>
    <w:rsid w:val="0062064E"/>
    <w:rsid w:val="00624B7C"/>
    <w:rsid w:val="0069367A"/>
    <w:rsid w:val="006D1943"/>
    <w:rsid w:val="006E6F8D"/>
    <w:rsid w:val="00705796"/>
    <w:rsid w:val="00752BA6"/>
    <w:rsid w:val="00761786"/>
    <w:rsid w:val="00773E6A"/>
    <w:rsid w:val="00775989"/>
    <w:rsid w:val="007832C3"/>
    <w:rsid w:val="007F05A9"/>
    <w:rsid w:val="00801779"/>
    <w:rsid w:val="008B4F99"/>
    <w:rsid w:val="008C44F9"/>
    <w:rsid w:val="00913A5A"/>
    <w:rsid w:val="009612BB"/>
    <w:rsid w:val="00961B9B"/>
    <w:rsid w:val="009D11CB"/>
    <w:rsid w:val="009E131A"/>
    <w:rsid w:val="00A05A11"/>
    <w:rsid w:val="00AB72C9"/>
    <w:rsid w:val="00AC4E60"/>
    <w:rsid w:val="00AD1E21"/>
    <w:rsid w:val="00AD6FF8"/>
    <w:rsid w:val="00B13716"/>
    <w:rsid w:val="00B909EB"/>
    <w:rsid w:val="00BA5623"/>
    <w:rsid w:val="00C06E55"/>
    <w:rsid w:val="00C420CC"/>
    <w:rsid w:val="00C47DE0"/>
    <w:rsid w:val="00C51837"/>
    <w:rsid w:val="00C61E80"/>
    <w:rsid w:val="00C8615B"/>
    <w:rsid w:val="00CA0B18"/>
    <w:rsid w:val="00CF35CA"/>
    <w:rsid w:val="00D012CD"/>
    <w:rsid w:val="00D12A5D"/>
    <w:rsid w:val="00D209CF"/>
    <w:rsid w:val="00D45B71"/>
    <w:rsid w:val="00D641B1"/>
    <w:rsid w:val="00D676ED"/>
    <w:rsid w:val="00D74089"/>
    <w:rsid w:val="00D92556"/>
    <w:rsid w:val="00E010EC"/>
    <w:rsid w:val="00E310B9"/>
    <w:rsid w:val="00E637CE"/>
    <w:rsid w:val="00E868A1"/>
    <w:rsid w:val="00EC4B05"/>
    <w:rsid w:val="00F31CA5"/>
    <w:rsid w:val="00F455F1"/>
    <w:rsid w:val="00F50EB5"/>
    <w:rsid w:val="00F53CD6"/>
    <w:rsid w:val="00F80EC2"/>
    <w:rsid w:val="00F80F49"/>
    <w:rsid w:val="00F96537"/>
    <w:rsid w:val="00FA4E3C"/>
    <w:rsid w:val="00FD3AEF"/>
    <w:rsid w:val="00FE3D75"/>
    <w:rsid w:val="00FE540A"/>
    <w:rsid w:val="00FF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C410-6F89-4801-8426-6D8B6429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49</cp:revision>
  <cp:lastPrinted>2016-10-10T19:12:00Z</cp:lastPrinted>
  <dcterms:created xsi:type="dcterms:W3CDTF">2016-11-07T18:23:00Z</dcterms:created>
  <dcterms:modified xsi:type="dcterms:W3CDTF">2018-02-23T22:47:00Z</dcterms:modified>
</cp:coreProperties>
</file>